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1BBCD" w14:textId="1B13A1AA" w:rsidR="00875165" w:rsidRPr="005C7B9A" w:rsidRDefault="00875165" w:rsidP="005C7B9A">
      <w:pPr>
        <w:spacing w:after="0"/>
        <w:jc w:val="center"/>
        <w:rPr>
          <w:rFonts w:ascii="Verdana" w:hAnsi="Verdana" w:cs="Arial"/>
          <w:lang w:val="es-ES"/>
        </w:rPr>
      </w:pPr>
      <w:r w:rsidRPr="005C7B9A">
        <w:rPr>
          <w:rFonts w:ascii="Verdana" w:hAnsi="Verdana" w:cs="Arial"/>
          <w:b/>
          <w:bCs/>
          <w:lang w:val="es-ES"/>
        </w:rPr>
        <w:t xml:space="preserve">Normograma </w:t>
      </w:r>
      <w:r w:rsidR="003F33F1" w:rsidRPr="005C7B9A">
        <w:rPr>
          <w:rFonts w:ascii="Verdana" w:hAnsi="Verdana" w:cs="Arial"/>
          <w:b/>
          <w:bCs/>
          <w:lang w:val="es-ES"/>
        </w:rPr>
        <w:t>Energía Geotérmica</w:t>
      </w:r>
    </w:p>
    <w:p w14:paraId="3B254959" w14:textId="702636CA" w:rsidR="00875165" w:rsidRPr="005C7B9A" w:rsidRDefault="00875165" w:rsidP="005C7B9A">
      <w:pPr>
        <w:spacing w:after="0"/>
        <w:jc w:val="center"/>
        <w:rPr>
          <w:rFonts w:ascii="Verdana" w:hAnsi="Verdana" w:cs="Arial"/>
          <w:lang w:val="es-ES"/>
        </w:rPr>
      </w:pPr>
      <w:r w:rsidRPr="005C7B9A">
        <w:rPr>
          <w:rFonts w:ascii="Verdana" w:hAnsi="Verdana" w:cs="Arial"/>
          <w:b/>
          <w:bCs/>
          <w:lang w:val="es-ES"/>
        </w:rPr>
        <w:t>Nivel Nacional</w:t>
      </w:r>
    </w:p>
    <w:tbl>
      <w:tblPr>
        <w:tblStyle w:val="Tablaconcuadrcula"/>
        <w:tblW w:w="0" w:type="auto"/>
        <w:tblLook w:val="04A0" w:firstRow="1" w:lastRow="0" w:firstColumn="1" w:lastColumn="0" w:noHBand="0" w:noVBand="1"/>
      </w:tblPr>
      <w:tblGrid>
        <w:gridCol w:w="3397"/>
        <w:gridCol w:w="1701"/>
        <w:gridCol w:w="1328"/>
        <w:gridCol w:w="7886"/>
      </w:tblGrid>
      <w:tr w:rsidR="00F92CAB" w:rsidRPr="005C7B9A" w14:paraId="08B10B58" w14:textId="77777777" w:rsidTr="005C7B9A">
        <w:tc>
          <w:tcPr>
            <w:tcW w:w="3397" w:type="dxa"/>
            <w:vAlign w:val="center"/>
          </w:tcPr>
          <w:p w14:paraId="47315EB7" w14:textId="5AE030B9" w:rsidR="00F92CAB" w:rsidRPr="005C7B9A" w:rsidRDefault="00F92CAB" w:rsidP="005C7B9A">
            <w:pPr>
              <w:jc w:val="both"/>
              <w:rPr>
                <w:rFonts w:ascii="Verdana" w:hAnsi="Verdana" w:cs="Arial"/>
                <w:lang w:val="es-ES"/>
              </w:rPr>
            </w:pPr>
            <w:r w:rsidRPr="005C7B9A">
              <w:rPr>
                <w:rFonts w:ascii="Verdana" w:hAnsi="Verdana" w:cs="Arial"/>
                <w:lang w:val="es-ES"/>
              </w:rPr>
              <w:t xml:space="preserve">Constitución Política </w:t>
            </w:r>
          </w:p>
        </w:tc>
        <w:tc>
          <w:tcPr>
            <w:tcW w:w="1701" w:type="dxa"/>
            <w:vAlign w:val="center"/>
          </w:tcPr>
          <w:p w14:paraId="4C0B78E8" w14:textId="77777777" w:rsidR="00F92CAB" w:rsidRPr="005C7B9A" w:rsidRDefault="00F92CAB" w:rsidP="005C7B9A">
            <w:pPr>
              <w:jc w:val="both"/>
              <w:rPr>
                <w:rFonts w:ascii="Verdana" w:hAnsi="Verdana" w:cs="Arial"/>
                <w:lang w:val="es-ES"/>
              </w:rPr>
            </w:pPr>
          </w:p>
        </w:tc>
        <w:tc>
          <w:tcPr>
            <w:tcW w:w="1328" w:type="dxa"/>
            <w:vAlign w:val="center"/>
          </w:tcPr>
          <w:p w14:paraId="6F2A41BB" w14:textId="77777777" w:rsidR="00F92CAB" w:rsidRPr="005C7B9A" w:rsidRDefault="00F92CAB" w:rsidP="005C7B9A">
            <w:pPr>
              <w:jc w:val="both"/>
              <w:rPr>
                <w:rFonts w:ascii="Verdana" w:hAnsi="Verdana" w:cs="Arial"/>
                <w:lang w:val="es-ES"/>
              </w:rPr>
            </w:pPr>
          </w:p>
        </w:tc>
        <w:tc>
          <w:tcPr>
            <w:tcW w:w="7886" w:type="dxa"/>
            <w:vAlign w:val="center"/>
          </w:tcPr>
          <w:p w14:paraId="1A3EE306"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334 – El estado intervendrá, entre otros, en la explotación de los recursos naturales, en el uso del suelo y en los servicios públicos para racionalizar la economía con el fin de conseguir el mejoramiento de la calidad de vida de los habitantes, la distribución equitativa de las oportunidades y los beneficios del desarrollo y la preservación de un ambiente sano</w:t>
            </w:r>
          </w:p>
          <w:p w14:paraId="5B8CDA24" w14:textId="77777777" w:rsidR="00F92CAB" w:rsidRPr="005C7B9A" w:rsidRDefault="00F92CAB" w:rsidP="005C7B9A">
            <w:pPr>
              <w:jc w:val="both"/>
              <w:rPr>
                <w:rFonts w:ascii="Verdana" w:hAnsi="Verdana" w:cs="Arial"/>
                <w:lang w:val="es-ES"/>
              </w:rPr>
            </w:pPr>
          </w:p>
          <w:p w14:paraId="4328A0E3" w14:textId="0C7258A3" w:rsidR="00F92CAB" w:rsidRPr="005C7B9A" w:rsidRDefault="00F92CAB" w:rsidP="005C7B9A">
            <w:pPr>
              <w:jc w:val="both"/>
              <w:rPr>
                <w:rFonts w:ascii="Verdana" w:hAnsi="Verdana" w:cs="Arial"/>
                <w:lang w:val="es-ES"/>
              </w:rPr>
            </w:pPr>
            <w:r w:rsidRPr="005C7B9A">
              <w:rPr>
                <w:rFonts w:ascii="Verdana" w:hAnsi="Verdana" w:cs="Arial"/>
                <w:lang w:val="es-ES"/>
              </w:rPr>
              <w:t>Artículo 288 – Incluye como los principios guía para el ejercicio de las competencias atribuidas a los distintos niveles territoriales, los principios de coordinación, concurrencia y subsidiariedad y, por ende, los mismos deben ser aplicados de acuerdo con la normativa vigente y la jurisdicción de las altas cortes.</w:t>
            </w:r>
          </w:p>
        </w:tc>
      </w:tr>
      <w:tr w:rsidR="00875165" w:rsidRPr="005C7B9A" w14:paraId="1B61AB41" w14:textId="6CA6BD54" w:rsidTr="005C7B9A">
        <w:tc>
          <w:tcPr>
            <w:tcW w:w="3397" w:type="dxa"/>
            <w:vAlign w:val="center"/>
          </w:tcPr>
          <w:p w14:paraId="20894B03" w14:textId="59B47F3C" w:rsidR="00875165" w:rsidRPr="005C7B9A" w:rsidRDefault="00875165" w:rsidP="005C7B9A">
            <w:pPr>
              <w:jc w:val="both"/>
              <w:rPr>
                <w:rFonts w:ascii="Verdana" w:hAnsi="Verdana" w:cs="Arial"/>
                <w:lang w:val="es-ES"/>
              </w:rPr>
            </w:pPr>
            <w:r w:rsidRPr="005C7B9A">
              <w:rPr>
                <w:rFonts w:ascii="Verdana" w:hAnsi="Verdana" w:cs="Arial"/>
                <w:lang w:val="es-ES"/>
              </w:rPr>
              <w:t>Código de Recursos Naturales</w:t>
            </w:r>
          </w:p>
        </w:tc>
        <w:tc>
          <w:tcPr>
            <w:tcW w:w="1701" w:type="dxa"/>
            <w:vAlign w:val="center"/>
          </w:tcPr>
          <w:p w14:paraId="4E0F809D" w14:textId="1F2A39A2" w:rsidR="00875165" w:rsidRPr="005C7B9A" w:rsidRDefault="00875165" w:rsidP="005C7B9A">
            <w:pPr>
              <w:jc w:val="both"/>
              <w:rPr>
                <w:rFonts w:ascii="Verdana" w:hAnsi="Verdana" w:cs="Arial"/>
                <w:lang w:val="es-ES"/>
              </w:rPr>
            </w:pPr>
            <w:r w:rsidRPr="005C7B9A">
              <w:rPr>
                <w:rFonts w:ascii="Verdana" w:hAnsi="Verdana" w:cs="Arial"/>
                <w:lang w:val="es-ES"/>
              </w:rPr>
              <w:t>Decreto Ley 2811 de 1974</w:t>
            </w:r>
          </w:p>
        </w:tc>
        <w:tc>
          <w:tcPr>
            <w:tcW w:w="1328" w:type="dxa"/>
            <w:vAlign w:val="center"/>
          </w:tcPr>
          <w:p w14:paraId="43C5EEA9" w14:textId="53BC2ADF" w:rsidR="00875165" w:rsidRPr="005C7B9A" w:rsidRDefault="00875165" w:rsidP="005C7B9A">
            <w:pPr>
              <w:jc w:val="both"/>
              <w:rPr>
                <w:rFonts w:ascii="Verdana" w:hAnsi="Verdana" w:cs="Arial"/>
                <w:lang w:val="es-ES"/>
              </w:rPr>
            </w:pPr>
            <w:r w:rsidRPr="005C7B9A">
              <w:rPr>
                <w:rFonts w:ascii="Verdana" w:hAnsi="Verdana" w:cs="Arial"/>
                <w:lang w:val="es-ES"/>
              </w:rPr>
              <w:t>Ambiental</w:t>
            </w:r>
          </w:p>
        </w:tc>
        <w:tc>
          <w:tcPr>
            <w:tcW w:w="7886" w:type="dxa"/>
            <w:vAlign w:val="center"/>
          </w:tcPr>
          <w:p w14:paraId="53BA36BA" w14:textId="2F9598E3" w:rsidR="00875165" w:rsidRPr="005C7B9A" w:rsidRDefault="00F92CAB" w:rsidP="005C7B9A">
            <w:pPr>
              <w:jc w:val="both"/>
              <w:rPr>
                <w:rFonts w:ascii="Verdana" w:hAnsi="Verdana" w:cs="Arial"/>
                <w:lang w:val="es-ES"/>
              </w:rPr>
            </w:pPr>
            <w:r w:rsidRPr="005C7B9A">
              <w:rPr>
                <w:rFonts w:ascii="Verdana" w:hAnsi="Verdana" w:cs="Arial"/>
                <w:lang w:val="es-ES"/>
              </w:rPr>
              <w:t>En el numeral 8 del artículo 3 incluye el manejo de los recursos geotérmicos como un recurso natural renovable. Así mismo, este mismo Decreto ley, en su artículo 167, calificó al Recurso Geotérmico como un energético primario.</w:t>
            </w:r>
          </w:p>
        </w:tc>
      </w:tr>
      <w:tr w:rsidR="00F92CAB" w:rsidRPr="005C7B9A" w14:paraId="281CCA79" w14:textId="77777777" w:rsidTr="005C7B9A">
        <w:tc>
          <w:tcPr>
            <w:tcW w:w="3397" w:type="dxa"/>
            <w:vAlign w:val="center"/>
          </w:tcPr>
          <w:p w14:paraId="2409EF7D" w14:textId="498D1128" w:rsidR="00F92CAB" w:rsidRPr="005C7B9A" w:rsidRDefault="00F92CAB" w:rsidP="005C7B9A">
            <w:pPr>
              <w:jc w:val="both"/>
              <w:rPr>
                <w:rFonts w:ascii="Verdana" w:hAnsi="Verdana" w:cs="Arial"/>
                <w:lang w:val="es-ES"/>
              </w:rPr>
            </w:pPr>
            <w:r w:rsidRPr="005C7B9A">
              <w:rPr>
                <w:rFonts w:ascii="Verdana" w:hAnsi="Verdana" w:cs="Arial"/>
                <w:lang w:val="es-ES"/>
              </w:rPr>
              <w:t>Crea el Ministerio de Ambiente y Desarrollo Sostenible</w:t>
            </w:r>
          </w:p>
        </w:tc>
        <w:tc>
          <w:tcPr>
            <w:tcW w:w="1701" w:type="dxa"/>
            <w:vAlign w:val="center"/>
          </w:tcPr>
          <w:p w14:paraId="2C355897" w14:textId="78EE4D3C" w:rsidR="00F92CAB" w:rsidRPr="005C7B9A" w:rsidRDefault="00F92CAB" w:rsidP="005C7B9A">
            <w:pPr>
              <w:jc w:val="both"/>
              <w:rPr>
                <w:rFonts w:ascii="Verdana" w:hAnsi="Verdana" w:cs="Arial"/>
                <w:lang w:val="es-ES"/>
              </w:rPr>
            </w:pPr>
            <w:r w:rsidRPr="005C7B9A">
              <w:rPr>
                <w:rFonts w:ascii="Verdana" w:hAnsi="Verdana" w:cs="Arial"/>
                <w:lang w:val="es-ES"/>
              </w:rPr>
              <w:t>Ley 99 de 1993</w:t>
            </w:r>
          </w:p>
        </w:tc>
        <w:tc>
          <w:tcPr>
            <w:tcW w:w="1328" w:type="dxa"/>
            <w:vAlign w:val="center"/>
          </w:tcPr>
          <w:p w14:paraId="15946BF4" w14:textId="3EAB7DD6" w:rsidR="00F92CAB" w:rsidRPr="005C7B9A" w:rsidRDefault="00F92CAB" w:rsidP="005C7B9A">
            <w:pPr>
              <w:jc w:val="both"/>
              <w:rPr>
                <w:rFonts w:ascii="Verdana" w:hAnsi="Verdana" w:cs="Arial"/>
                <w:lang w:val="es-ES"/>
              </w:rPr>
            </w:pPr>
            <w:r w:rsidRPr="005C7B9A">
              <w:rPr>
                <w:rFonts w:ascii="Verdana" w:hAnsi="Verdana" w:cs="Arial"/>
                <w:lang w:val="es-ES"/>
              </w:rPr>
              <w:t>Ambiental</w:t>
            </w:r>
          </w:p>
        </w:tc>
        <w:tc>
          <w:tcPr>
            <w:tcW w:w="7886" w:type="dxa"/>
            <w:vAlign w:val="center"/>
          </w:tcPr>
          <w:p w14:paraId="79FE33F9" w14:textId="45C34E2F" w:rsidR="00F92CAB" w:rsidRPr="005C7B9A" w:rsidRDefault="00E62674" w:rsidP="005C7B9A">
            <w:pPr>
              <w:jc w:val="both"/>
              <w:rPr>
                <w:rFonts w:ascii="Verdana" w:hAnsi="Verdana" w:cs="Arial"/>
                <w:lang w:val="es-ES"/>
              </w:rPr>
            </w:pPr>
            <w:r w:rsidRPr="005C7B9A">
              <w:rPr>
                <w:rFonts w:ascii="Verdana" w:hAnsi="Verdana" w:cs="Arial"/>
                <w:lang w:val="es-ES"/>
              </w:rPr>
              <w:t>Puso a cargo de dicha entidad la definición de las políticas y regulaciones a las que se sujetarán la recuperación, conservación, protección, ordenamiento, manejo, uso y aprovechamiento de los recursos naturales renovables y el medio ambiente.</w:t>
            </w:r>
          </w:p>
        </w:tc>
      </w:tr>
      <w:tr w:rsidR="00F92CAB" w:rsidRPr="005C7B9A" w14:paraId="010319D3" w14:textId="77777777" w:rsidTr="005C7B9A">
        <w:tc>
          <w:tcPr>
            <w:tcW w:w="3397" w:type="dxa"/>
            <w:vAlign w:val="center"/>
          </w:tcPr>
          <w:p w14:paraId="33658F0D" w14:textId="5245AB83" w:rsidR="00F92CAB" w:rsidRPr="005C7B9A" w:rsidRDefault="00E62674" w:rsidP="005C7B9A">
            <w:pPr>
              <w:jc w:val="both"/>
              <w:rPr>
                <w:rFonts w:ascii="Verdana" w:hAnsi="Verdana" w:cs="Arial"/>
                <w:lang w:val="es-ES"/>
              </w:rPr>
            </w:pPr>
            <w:r w:rsidRPr="005C7B9A">
              <w:rPr>
                <w:rFonts w:ascii="Verdana" w:hAnsi="Verdana" w:cs="Arial"/>
                <w:lang w:val="es-ES"/>
              </w:rPr>
              <w:t>Por la cual se establece el régimen para la generación, interconexión, trasmisión, distribución y comercialización de electricidad en el territorio nacional, se conceden unas autorizaciones y se dictan otras disposiciones en materia energética.</w:t>
            </w:r>
          </w:p>
        </w:tc>
        <w:tc>
          <w:tcPr>
            <w:tcW w:w="1701" w:type="dxa"/>
            <w:vAlign w:val="center"/>
          </w:tcPr>
          <w:p w14:paraId="5A2DBFB6" w14:textId="357CFED5" w:rsidR="00F92CAB" w:rsidRPr="005C7B9A" w:rsidRDefault="00F92CAB" w:rsidP="005C7B9A">
            <w:pPr>
              <w:jc w:val="both"/>
              <w:rPr>
                <w:rFonts w:ascii="Verdana" w:hAnsi="Verdana" w:cs="Arial"/>
                <w:lang w:val="es-ES"/>
              </w:rPr>
            </w:pPr>
            <w:r w:rsidRPr="005C7B9A">
              <w:rPr>
                <w:rFonts w:ascii="Verdana" w:hAnsi="Verdana" w:cs="Arial"/>
                <w:lang w:val="es-ES"/>
              </w:rPr>
              <w:t>Ley 143 de 1994</w:t>
            </w:r>
          </w:p>
        </w:tc>
        <w:tc>
          <w:tcPr>
            <w:tcW w:w="1328" w:type="dxa"/>
            <w:vAlign w:val="center"/>
          </w:tcPr>
          <w:p w14:paraId="282088BA" w14:textId="2B72C606" w:rsidR="00F92CAB" w:rsidRPr="005C7B9A" w:rsidRDefault="00E62674" w:rsidP="005C7B9A">
            <w:pPr>
              <w:jc w:val="both"/>
              <w:rPr>
                <w:rFonts w:ascii="Verdana" w:hAnsi="Verdana" w:cs="Arial"/>
                <w:lang w:val="es-ES"/>
              </w:rPr>
            </w:pPr>
            <w:r w:rsidRPr="005C7B9A">
              <w:rPr>
                <w:rFonts w:ascii="Verdana" w:hAnsi="Verdana" w:cs="Arial"/>
                <w:lang w:val="es-ES"/>
              </w:rPr>
              <w:t>Técnica</w:t>
            </w:r>
          </w:p>
        </w:tc>
        <w:tc>
          <w:tcPr>
            <w:tcW w:w="7886" w:type="dxa"/>
            <w:vAlign w:val="center"/>
          </w:tcPr>
          <w:p w14:paraId="032A18B9" w14:textId="37035263" w:rsidR="00F92CAB" w:rsidRPr="005C7B9A" w:rsidRDefault="00E62674" w:rsidP="005C7B9A">
            <w:pPr>
              <w:jc w:val="both"/>
              <w:rPr>
                <w:rFonts w:ascii="Verdana" w:hAnsi="Verdana" w:cs="Arial"/>
                <w:lang w:val="es-ES"/>
              </w:rPr>
            </w:pPr>
            <w:r w:rsidRPr="005C7B9A">
              <w:rPr>
                <w:rFonts w:ascii="Verdana" w:hAnsi="Verdana" w:cs="Arial"/>
                <w:lang w:val="es-ES"/>
              </w:rPr>
              <w:t>Artículo 2, dispone que corresponde al Ministerio de Minas y Energía, en ejercicio de las funciones de regulación, planeación, coordinación y seguimiento de todas las actividades relacionadas con el servicio público de electricidad, definir los criterios para el aprovechamiento económico de las fuentes convencionales y no convencionales de energía, dentro de un manejo integral eficiente y sostenible de los recursos energéticos del país</w:t>
            </w:r>
          </w:p>
        </w:tc>
      </w:tr>
      <w:tr w:rsidR="00F92CAB" w:rsidRPr="005C7B9A" w14:paraId="715036B3" w14:textId="77777777" w:rsidTr="005C7B9A">
        <w:tc>
          <w:tcPr>
            <w:tcW w:w="3397" w:type="dxa"/>
            <w:vAlign w:val="center"/>
          </w:tcPr>
          <w:p w14:paraId="02E91AC0" w14:textId="42774A9C" w:rsidR="00F92CAB" w:rsidRPr="005C7B9A" w:rsidRDefault="00F92CAB" w:rsidP="005C7B9A">
            <w:pPr>
              <w:jc w:val="both"/>
              <w:rPr>
                <w:rFonts w:ascii="Verdana" w:hAnsi="Verdana" w:cs="Arial"/>
                <w:lang w:val="es-ES"/>
              </w:rPr>
            </w:pPr>
            <w:r w:rsidRPr="005C7B9A">
              <w:rPr>
                <w:rFonts w:ascii="Verdana" w:hAnsi="Verdana" w:cs="Arial"/>
                <w:lang w:val="es-ES"/>
              </w:rPr>
              <w:t>Regula la integración de las energías renovable no convencionales al Sistema Energético Nacional</w:t>
            </w:r>
          </w:p>
        </w:tc>
        <w:tc>
          <w:tcPr>
            <w:tcW w:w="1701" w:type="dxa"/>
            <w:vAlign w:val="center"/>
          </w:tcPr>
          <w:p w14:paraId="43B3D785" w14:textId="7576105F" w:rsidR="00F92CAB" w:rsidRPr="005C7B9A" w:rsidRDefault="00F92CAB" w:rsidP="005C7B9A">
            <w:pPr>
              <w:jc w:val="both"/>
              <w:rPr>
                <w:rFonts w:ascii="Verdana" w:hAnsi="Verdana" w:cs="Arial"/>
                <w:lang w:val="es-ES"/>
              </w:rPr>
            </w:pPr>
            <w:r w:rsidRPr="005C7B9A">
              <w:rPr>
                <w:rFonts w:ascii="Verdana" w:hAnsi="Verdana" w:cs="Arial"/>
                <w:lang w:val="es-ES"/>
              </w:rPr>
              <w:t>Ley 1715 de 2014</w:t>
            </w:r>
          </w:p>
        </w:tc>
        <w:tc>
          <w:tcPr>
            <w:tcW w:w="1328" w:type="dxa"/>
            <w:vAlign w:val="center"/>
          </w:tcPr>
          <w:p w14:paraId="655FE3C1" w14:textId="4D5EF436" w:rsidR="00F92CAB" w:rsidRPr="005C7B9A" w:rsidRDefault="00F92CAB" w:rsidP="005C7B9A">
            <w:pPr>
              <w:jc w:val="both"/>
              <w:rPr>
                <w:rFonts w:ascii="Verdana" w:hAnsi="Verdana" w:cs="Arial"/>
                <w:lang w:val="es-ES"/>
              </w:rPr>
            </w:pPr>
            <w:r w:rsidRPr="005C7B9A">
              <w:rPr>
                <w:rFonts w:ascii="Verdana" w:hAnsi="Verdana" w:cs="Arial"/>
                <w:lang w:val="es-ES"/>
              </w:rPr>
              <w:t>Técnica</w:t>
            </w:r>
          </w:p>
        </w:tc>
        <w:tc>
          <w:tcPr>
            <w:tcW w:w="7886" w:type="dxa"/>
            <w:vAlign w:val="center"/>
          </w:tcPr>
          <w:p w14:paraId="6031E9D9" w14:textId="05BAAC15" w:rsidR="00E62674" w:rsidRPr="005C7B9A" w:rsidRDefault="00E62674" w:rsidP="005C7B9A">
            <w:pPr>
              <w:jc w:val="both"/>
              <w:rPr>
                <w:rFonts w:ascii="Verdana" w:hAnsi="Verdana" w:cs="Arial"/>
                <w:lang w:val="es-ES"/>
              </w:rPr>
            </w:pPr>
            <w:r w:rsidRPr="005C7B9A">
              <w:rPr>
                <w:rFonts w:ascii="Verdana" w:hAnsi="Verdana" w:cs="Arial"/>
                <w:lang w:val="es-ES"/>
              </w:rPr>
              <w:t>Regula la integración de las energías renovables no convencionales al Sistema Energético Nacional, define, en el numeral 12 del artículo 5, que la energía geotérmica es aquella obtenida a partir de una fuente no convencional de energía renovable que consiste en el calor que yace en el subsuelo terrestre.</w:t>
            </w:r>
          </w:p>
          <w:p w14:paraId="6568504F" w14:textId="77777777" w:rsidR="00E62674" w:rsidRPr="005C7B9A" w:rsidRDefault="00E62674" w:rsidP="005C7B9A">
            <w:pPr>
              <w:jc w:val="both"/>
              <w:rPr>
                <w:rFonts w:ascii="Verdana" w:hAnsi="Verdana" w:cs="Arial"/>
                <w:lang w:val="es-ES"/>
              </w:rPr>
            </w:pPr>
          </w:p>
          <w:p w14:paraId="4ECBA471" w14:textId="157C64C0" w:rsidR="00F92CAB" w:rsidRPr="005C7B9A" w:rsidRDefault="00F92CAB" w:rsidP="005C7B9A">
            <w:pPr>
              <w:jc w:val="both"/>
              <w:rPr>
                <w:rFonts w:ascii="Verdana" w:hAnsi="Verdana" w:cs="Arial"/>
                <w:lang w:val="es-ES"/>
              </w:rPr>
            </w:pPr>
            <w:r w:rsidRPr="005C7B9A">
              <w:rPr>
                <w:rFonts w:ascii="Verdana" w:hAnsi="Verdana" w:cs="Arial"/>
                <w:lang w:val="es-ES"/>
              </w:rPr>
              <w:t>Capítulo IV del Desarrollo y promoción de las FNCER</w:t>
            </w:r>
          </w:p>
          <w:p w14:paraId="7570614F"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 Desarrollo de energía geotérmica</w:t>
            </w:r>
          </w:p>
          <w:p w14:paraId="735200DE" w14:textId="77777777" w:rsidR="00F92CAB" w:rsidRPr="005C7B9A" w:rsidRDefault="00F92CAB" w:rsidP="005C7B9A">
            <w:pPr>
              <w:jc w:val="both"/>
              <w:rPr>
                <w:rFonts w:ascii="Verdana" w:hAnsi="Verdana" w:cs="Arial"/>
                <w:lang w:val="es-ES"/>
              </w:rPr>
            </w:pPr>
            <w:r w:rsidRPr="005C7B9A">
              <w:rPr>
                <w:rFonts w:ascii="Verdana" w:hAnsi="Verdana" w:cs="Arial"/>
                <w:lang w:val="es-ES"/>
              </w:rPr>
              <w:lastRenderedPageBreak/>
              <w:t>Artículo 21 – 1. Registro geotérmico</w:t>
            </w:r>
          </w:p>
          <w:p w14:paraId="2BF83784"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 – 2. Sanciones</w:t>
            </w:r>
          </w:p>
          <w:p w14:paraId="2AB15D2C" w14:textId="6C7687F6" w:rsidR="00F92CAB" w:rsidRPr="005C7B9A" w:rsidRDefault="00F92CAB" w:rsidP="005C7B9A">
            <w:pPr>
              <w:jc w:val="both"/>
              <w:rPr>
                <w:rFonts w:ascii="Verdana" w:hAnsi="Verdana" w:cs="Arial"/>
                <w:lang w:val="es-ES"/>
              </w:rPr>
            </w:pPr>
            <w:r w:rsidRPr="005C7B9A">
              <w:rPr>
                <w:rFonts w:ascii="Verdana" w:hAnsi="Verdana" w:cs="Arial"/>
                <w:lang w:val="es-ES"/>
              </w:rPr>
              <w:t>Artículo 21 – 3- Conductas objeto de sanción</w:t>
            </w:r>
          </w:p>
        </w:tc>
      </w:tr>
      <w:tr w:rsidR="00E62674" w:rsidRPr="005C7B9A" w14:paraId="70B74A94" w14:textId="77777777" w:rsidTr="005C7B9A">
        <w:tc>
          <w:tcPr>
            <w:tcW w:w="3397" w:type="dxa"/>
            <w:vAlign w:val="center"/>
          </w:tcPr>
          <w:p w14:paraId="036C25BA" w14:textId="10C3DE03" w:rsidR="00E62674" w:rsidRPr="005C7B9A" w:rsidRDefault="00E62674" w:rsidP="005C7B9A">
            <w:pPr>
              <w:jc w:val="both"/>
              <w:rPr>
                <w:rFonts w:ascii="Verdana" w:hAnsi="Verdana" w:cs="Arial"/>
                <w:lang w:val="es-ES"/>
              </w:rPr>
            </w:pPr>
            <w:r w:rsidRPr="005C7B9A">
              <w:rPr>
                <w:rFonts w:ascii="Verdana" w:hAnsi="Verdana" w:cs="Arial"/>
                <w:lang w:val="es-ES"/>
              </w:rPr>
              <w:lastRenderedPageBreak/>
              <w:t>Reglamentario del Sector Administrativo de Minas y Energía</w:t>
            </w:r>
          </w:p>
        </w:tc>
        <w:tc>
          <w:tcPr>
            <w:tcW w:w="1701" w:type="dxa"/>
            <w:vAlign w:val="center"/>
          </w:tcPr>
          <w:p w14:paraId="66F00804" w14:textId="505E3F5D" w:rsidR="00E62674" w:rsidRPr="005C7B9A" w:rsidRDefault="00E62674" w:rsidP="005C7B9A">
            <w:pPr>
              <w:jc w:val="both"/>
              <w:rPr>
                <w:rFonts w:ascii="Verdana" w:hAnsi="Verdana" w:cs="Arial"/>
                <w:lang w:val="es-ES"/>
              </w:rPr>
            </w:pPr>
            <w:r w:rsidRPr="005C7B9A">
              <w:rPr>
                <w:rFonts w:ascii="Verdana" w:hAnsi="Verdana" w:cs="Arial"/>
                <w:lang w:val="es-ES"/>
              </w:rPr>
              <w:t>Decreto 1073 de 2015</w:t>
            </w:r>
          </w:p>
        </w:tc>
        <w:tc>
          <w:tcPr>
            <w:tcW w:w="1328" w:type="dxa"/>
            <w:vAlign w:val="center"/>
          </w:tcPr>
          <w:p w14:paraId="21706B2E" w14:textId="0891895F" w:rsidR="00E62674" w:rsidRPr="005C7B9A" w:rsidRDefault="00E62674" w:rsidP="005C7B9A">
            <w:pPr>
              <w:jc w:val="both"/>
              <w:rPr>
                <w:rFonts w:ascii="Verdana" w:hAnsi="Verdana" w:cs="Arial"/>
                <w:lang w:val="es-ES"/>
              </w:rPr>
            </w:pPr>
            <w:r w:rsidRPr="005C7B9A">
              <w:rPr>
                <w:rFonts w:ascii="Verdana" w:hAnsi="Verdana" w:cs="Arial"/>
                <w:lang w:val="es-ES"/>
              </w:rPr>
              <w:t>Técnica</w:t>
            </w:r>
          </w:p>
        </w:tc>
        <w:tc>
          <w:tcPr>
            <w:tcW w:w="7886" w:type="dxa"/>
            <w:vAlign w:val="center"/>
          </w:tcPr>
          <w:p w14:paraId="70CC8280" w14:textId="77777777" w:rsidR="00E62674" w:rsidRPr="005C7B9A" w:rsidRDefault="00E62674" w:rsidP="005C7B9A">
            <w:pPr>
              <w:jc w:val="both"/>
              <w:rPr>
                <w:rFonts w:ascii="Verdana" w:hAnsi="Verdana" w:cs="Arial"/>
                <w:lang w:val="es-ES"/>
              </w:rPr>
            </w:pPr>
          </w:p>
        </w:tc>
      </w:tr>
      <w:tr w:rsidR="00F92CAB" w:rsidRPr="005C7B9A" w14:paraId="286A5FA2" w14:textId="77777777" w:rsidTr="005C7B9A">
        <w:tc>
          <w:tcPr>
            <w:tcW w:w="3397" w:type="dxa"/>
            <w:vAlign w:val="center"/>
          </w:tcPr>
          <w:p w14:paraId="603D88F2" w14:textId="6E9FDEF9" w:rsidR="00F92CAB" w:rsidRPr="005C7B9A" w:rsidRDefault="00F92CAB" w:rsidP="005C7B9A">
            <w:pPr>
              <w:jc w:val="both"/>
              <w:rPr>
                <w:rFonts w:ascii="Verdana" w:hAnsi="Verdana" w:cs="Arial"/>
                <w:lang w:val="es-ES"/>
              </w:rPr>
            </w:pPr>
            <w:r w:rsidRPr="005C7B9A">
              <w:rPr>
                <w:rFonts w:ascii="Verdana" w:hAnsi="Verdana" w:cs="Arial"/>
                <w:lang w:val="es-ES"/>
              </w:rPr>
              <w:t>Decreto único Reglamentario del Sector Ambiente y Desarrollo Sostenible</w:t>
            </w:r>
          </w:p>
        </w:tc>
        <w:tc>
          <w:tcPr>
            <w:tcW w:w="1701" w:type="dxa"/>
            <w:vAlign w:val="center"/>
          </w:tcPr>
          <w:p w14:paraId="33BB9D22" w14:textId="0639F6BD" w:rsidR="00F92CAB" w:rsidRPr="005C7B9A" w:rsidRDefault="00F92CAB" w:rsidP="005C7B9A">
            <w:pPr>
              <w:jc w:val="both"/>
              <w:rPr>
                <w:rFonts w:ascii="Verdana" w:hAnsi="Verdana" w:cs="Arial"/>
                <w:lang w:val="es-ES"/>
              </w:rPr>
            </w:pPr>
            <w:r w:rsidRPr="005C7B9A">
              <w:rPr>
                <w:rFonts w:ascii="Verdana" w:hAnsi="Verdana" w:cs="Arial"/>
                <w:lang w:val="es-ES"/>
              </w:rPr>
              <w:t>Decreto 1076 de 2015</w:t>
            </w:r>
          </w:p>
        </w:tc>
        <w:tc>
          <w:tcPr>
            <w:tcW w:w="1328" w:type="dxa"/>
            <w:vAlign w:val="center"/>
          </w:tcPr>
          <w:p w14:paraId="3F87E670" w14:textId="78BB62EF" w:rsidR="00F92CAB" w:rsidRPr="005C7B9A" w:rsidRDefault="00F92CAB" w:rsidP="005C7B9A">
            <w:pPr>
              <w:jc w:val="both"/>
              <w:rPr>
                <w:rFonts w:ascii="Verdana" w:hAnsi="Verdana" w:cs="Arial"/>
                <w:lang w:val="es-ES"/>
              </w:rPr>
            </w:pPr>
            <w:r w:rsidRPr="005C7B9A">
              <w:rPr>
                <w:rFonts w:ascii="Verdana" w:hAnsi="Verdana" w:cs="Arial"/>
                <w:lang w:val="es-ES"/>
              </w:rPr>
              <w:t>Ambiental</w:t>
            </w:r>
          </w:p>
        </w:tc>
        <w:tc>
          <w:tcPr>
            <w:tcW w:w="7886" w:type="dxa"/>
            <w:vAlign w:val="center"/>
          </w:tcPr>
          <w:p w14:paraId="5BA01C4B" w14:textId="77777777" w:rsidR="00F92CAB" w:rsidRPr="005C7B9A" w:rsidRDefault="00F92CAB" w:rsidP="005C7B9A">
            <w:pPr>
              <w:jc w:val="both"/>
              <w:rPr>
                <w:rFonts w:ascii="Verdana" w:hAnsi="Verdana" w:cs="Arial"/>
                <w:lang w:val="es-ES"/>
              </w:rPr>
            </w:pPr>
          </w:p>
        </w:tc>
      </w:tr>
      <w:tr w:rsidR="00F92CAB" w:rsidRPr="005C7B9A" w14:paraId="417DF0E5" w14:textId="01C10BC2" w:rsidTr="005C7B9A">
        <w:tc>
          <w:tcPr>
            <w:tcW w:w="3397" w:type="dxa"/>
            <w:vAlign w:val="center"/>
          </w:tcPr>
          <w:p w14:paraId="5C28FA69" w14:textId="73386C30" w:rsidR="00F92CAB" w:rsidRPr="005C7B9A" w:rsidRDefault="00F92CAB" w:rsidP="005C7B9A">
            <w:pPr>
              <w:jc w:val="both"/>
              <w:rPr>
                <w:rFonts w:ascii="Verdana" w:hAnsi="Verdana" w:cs="Arial"/>
                <w:lang w:val="es-ES"/>
              </w:rPr>
            </w:pPr>
            <w:r w:rsidRPr="005C7B9A">
              <w:rPr>
                <w:rFonts w:ascii="Verdana" w:hAnsi="Verdana" w:cs="Arial"/>
                <w:lang w:val="es-ES"/>
              </w:rPr>
              <w:t>Modificatorio del numeral 7 del artículo 2.2.2.3.4.2 del Decreto 1076 de 2015</w:t>
            </w:r>
          </w:p>
        </w:tc>
        <w:tc>
          <w:tcPr>
            <w:tcW w:w="1701" w:type="dxa"/>
            <w:vAlign w:val="center"/>
          </w:tcPr>
          <w:p w14:paraId="2B1B7386" w14:textId="0352C1FF" w:rsidR="00F92CAB" w:rsidRPr="005C7B9A" w:rsidRDefault="00F92CAB" w:rsidP="005C7B9A">
            <w:pPr>
              <w:jc w:val="both"/>
              <w:rPr>
                <w:rFonts w:ascii="Verdana" w:hAnsi="Verdana" w:cs="Arial"/>
                <w:lang w:val="es-ES"/>
              </w:rPr>
            </w:pPr>
            <w:r w:rsidRPr="005C7B9A">
              <w:rPr>
                <w:rFonts w:ascii="Verdana" w:hAnsi="Verdana" w:cs="Arial"/>
                <w:lang w:val="es-ES"/>
              </w:rPr>
              <w:t>Decreto 2462 de 2018 (Artículo 1)</w:t>
            </w:r>
          </w:p>
        </w:tc>
        <w:tc>
          <w:tcPr>
            <w:tcW w:w="1328" w:type="dxa"/>
            <w:vAlign w:val="center"/>
          </w:tcPr>
          <w:p w14:paraId="572BAC4D" w14:textId="48C4A6A0" w:rsidR="00F92CAB" w:rsidRPr="005C7B9A" w:rsidRDefault="00F92CAB" w:rsidP="005C7B9A">
            <w:pPr>
              <w:jc w:val="both"/>
              <w:rPr>
                <w:rFonts w:ascii="Verdana" w:hAnsi="Verdana" w:cs="Arial"/>
                <w:lang w:val="es-ES"/>
              </w:rPr>
            </w:pPr>
            <w:r w:rsidRPr="005C7B9A">
              <w:rPr>
                <w:rFonts w:ascii="Verdana" w:hAnsi="Verdana" w:cs="Arial"/>
                <w:lang w:val="es-ES"/>
              </w:rPr>
              <w:t>Ambiental</w:t>
            </w:r>
          </w:p>
        </w:tc>
        <w:tc>
          <w:tcPr>
            <w:tcW w:w="7886" w:type="dxa"/>
            <w:vAlign w:val="center"/>
          </w:tcPr>
          <w:p w14:paraId="65ECB7D6" w14:textId="0EDD4064" w:rsidR="00F92CAB" w:rsidRPr="005C7B9A" w:rsidRDefault="00F92CAB" w:rsidP="005C7B9A">
            <w:pPr>
              <w:jc w:val="both"/>
              <w:rPr>
                <w:rFonts w:ascii="Verdana" w:hAnsi="Verdana" w:cs="Arial"/>
                <w:lang w:val="es-ES"/>
              </w:rPr>
            </w:pPr>
          </w:p>
        </w:tc>
      </w:tr>
      <w:tr w:rsidR="00F92CAB" w:rsidRPr="005C7B9A" w14:paraId="2C0A4D38" w14:textId="77777777" w:rsidTr="005C7B9A">
        <w:tc>
          <w:tcPr>
            <w:tcW w:w="3397" w:type="dxa"/>
            <w:vAlign w:val="center"/>
          </w:tcPr>
          <w:p w14:paraId="272B7680" w14:textId="57809D9C" w:rsidR="00F92CAB" w:rsidRPr="005C7B9A" w:rsidRDefault="00F92CAB" w:rsidP="005C7B9A">
            <w:pPr>
              <w:jc w:val="both"/>
              <w:rPr>
                <w:rFonts w:ascii="Verdana" w:hAnsi="Verdana" w:cs="Arial"/>
                <w:lang w:val="es-ES"/>
              </w:rPr>
            </w:pPr>
            <w:r w:rsidRPr="005C7B9A">
              <w:rPr>
                <w:rFonts w:ascii="Verdana" w:hAnsi="Verdana" w:cs="Arial"/>
                <w:lang w:val="es-ES"/>
              </w:rPr>
              <w:t>Se dictan disposiciones para la transición energética, la dinamización del mercado energético y la reactivación económica del país</w:t>
            </w:r>
          </w:p>
        </w:tc>
        <w:tc>
          <w:tcPr>
            <w:tcW w:w="1701" w:type="dxa"/>
            <w:vAlign w:val="center"/>
          </w:tcPr>
          <w:p w14:paraId="496DE417" w14:textId="41C9C41A" w:rsidR="00F92CAB" w:rsidRPr="005C7B9A" w:rsidRDefault="00F92CAB" w:rsidP="005C7B9A">
            <w:pPr>
              <w:ind w:left="708" w:hanging="708"/>
              <w:jc w:val="both"/>
              <w:rPr>
                <w:rFonts w:ascii="Verdana" w:hAnsi="Verdana" w:cs="Arial"/>
                <w:lang w:val="es-ES"/>
              </w:rPr>
            </w:pPr>
            <w:r w:rsidRPr="005C7B9A">
              <w:rPr>
                <w:rFonts w:ascii="Verdana" w:hAnsi="Verdana" w:cs="Arial"/>
                <w:lang w:val="es-ES"/>
              </w:rPr>
              <w:t>Ley 2099 de 2021</w:t>
            </w:r>
          </w:p>
        </w:tc>
        <w:tc>
          <w:tcPr>
            <w:tcW w:w="1328" w:type="dxa"/>
            <w:vAlign w:val="center"/>
          </w:tcPr>
          <w:p w14:paraId="17D42D29" w14:textId="19ED3A3E" w:rsidR="00F92CAB" w:rsidRPr="005C7B9A" w:rsidRDefault="00F92CAB" w:rsidP="005C7B9A">
            <w:pPr>
              <w:jc w:val="both"/>
              <w:rPr>
                <w:rFonts w:ascii="Verdana" w:hAnsi="Verdana" w:cs="Arial"/>
                <w:lang w:val="es-ES"/>
              </w:rPr>
            </w:pPr>
            <w:r w:rsidRPr="005C7B9A">
              <w:rPr>
                <w:rFonts w:ascii="Verdana" w:hAnsi="Verdana" w:cs="Arial"/>
                <w:lang w:val="es-ES"/>
              </w:rPr>
              <w:t>Técnica</w:t>
            </w:r>
          </w:p>
        </w:tc>
        <w:tc>
          <w:tcPr>
            <w:tcW w:w="7886" w:type="dxa"/>
            <w:vAlign w:val="center"/>
          </w:tcPr>
          <w:p w14:paraId="701ED511" w14:textId="372044F5" w:rsidR="00E62674" w:rsidRPr="005C7B9A" w:rsidRDefault="00E62674" w:rsidP="005C7B9A">
            <w:pPr>
              <w:jc w:val="both"/>
              <w:rPr>
                <w:rFonts w:ascii="Verdana" w:hAnsi="Verdana" w:cs="Arial"/>
                <w:lang w:val="es-ES"/>
              </w:rPr>
            </w:pPr>
            <w:r w:rsidRPr="005C7B9A">
              <w:rPr>
                <w:rFonts w:ascii="Verdana" w:hAnsi="Verdana" w:cs="Arial"/>
                <w:lang w:val="es-ES"/>
              </w:rPr>
              <w:t>Por medio de la cual se dictan disposiciones para la transición energética, la dinamización del mercado energético, la reactivación económica del país, entre otras, consolidó el marco regulatorio para la generación de energía eléctrica a partir de la geotermia</w:t>
            </w:r>
          </w:p>
          <w:p w14:paraId="756CAF11" w14:textId="77777777" w:rsidR="00E62674" w:rsidRPr="005C7B9A" w:rsidRDefault="00E62674" w:rsidP="005C7B9A">
            <w:pPr>
              <w:jc w:val="both"/>
              <w:rPr>
                <w:rFonts w:ascii="Verdana" w:hAnsi="Verdana" w:cs="Arial"/>
                <w:lang w:val="es-ES"/>
              </w:rPr>
            </w:pPr>
          </w:p>
          <w:p w14:paraId="68D26ADD" w14:textId="69E0F039" w:rsidR="00F92CAB" w:rsidRPr="005C7B9A" w:rsidRDefault="00F92CAB" w:rsidP="005C7B9A">
            <w:pPr>
              <w:jc w:val="both"/>
              <w:rPr>
                <w:rFonts w:ascii="Verdana" w:hAnsi="Verdana" w:cs="Arial"/>
                <w:lang w:val="es-ES"/>
              </w:rPr>
            </w:pPr>
            <w:r w:rsidRPr="005C7B9A">
              <w:rPr>
                <w:rFonts w:ascii="Verdana" w:hAnsi="Verdana" w:cs="Arial"/>
                <w:lang w:val="es-ES"/>
              </w:rPr>
              <w:t>Capítulo II. Modificaciones y adiciones a la Ley 1715 de 2014</w:t>
            </w:r>
          </w:p>
          <w:p w14:paraId="4ABA3656"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 Desarrollo de energía Geotérmica</w:t>
            </w:r>
          </w:p>
          <w:p w14:paraId="55E82308" w14:textId="79093254" w:rsidR="00F92CAB" w:rsidRPr="005C7B9A" w:rsidRDefault="00F92CAB" w:rsidP="005C7B9A">
            <w:pPr>
              <w:jc w:val="both"/>
              <w:rPr>
                <w:rFonts w:ascii="Verdana" w:hAnsi="Verdana" w:cs="Arial"/>
                <w:lang w:val="es-ES"/>
              </w:rPr>
            </w:pPr>
            <w:r w:rsidRPr="005C7B9A">
              <w:rPr>
                <w:rFonts w:ascii="Verdana" w:hAnsi="Verdana" w:cs="Arial"/>
                <w:lang w:val="es-ES"/>
              </w:rPr>
              <w:t>Capítulo III. El recurso geotérmico</w:t>
            </w:r>
          </w:p>
          <w:p w14:paraId="30FD9731"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14. Adiciónese el artículo 21-1 a la Ley 1715 de 2014:</w:t>
            </w:r>
          </w:p>
          <w:p w14:paraId="4FA80A14"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21-1. Registro geotérmico</w:t>
            </w:r>
          </w:p>
          <w:p w14:paraId="5C8BA484"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15. Adiciónese el Artículo 21 – 2 a la Ley 1715 de 2014:</w:t>
            </w:r>
          </w:p>
          <w:p w14:paraId="68F01256"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21-2. Sanciones</w:t>
            </w:r>
          </w:p>
          <w:p w14:paraId="201975A8" w14:textId="7F4E1E7D" w:rsidR="00F92CAB" w:rsidRPr="005C7B9A" w:rsidRDefault="00F92CAB" w:rsidP="005C7B9A">
            <w:pPr>
              <w:jc w:val="both"/>
              <w:rPr>
                <w:rFonts w:ascii="Verdana" w:hAnsi="Verdana" w:cs="Arial"/>
                <w:lang w:val="es-ES"/>
              </w:rPr>
            </w:pPr>
            <w:r w:rsidRPr="005C7B9A">
              <w:rPr>
                <w:rFonts w:ascii="Verdana" w:hAnsi="Verdana" w:cs="Arial"/>
                <w:lang w:val="es-ES"/>
              </w:rPr>
              <w:t>Artículo 16. Adiciónese el Artículo 21-3 a la Ley 1715 de 2015:</w:t>
            </w:r>
          </w:p>
          <w:p w14:paraId="44207D5D"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21 – 3. Conductas objeto de sanción</w:t>
            </w:r>
          </w:p>
          <w:p w14:paraId="5A27459D"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17. Modifíquese el Artículo 172 del Decreto Ley 2811 de 1974.</w:t>
            </w:r>
          </w:p>
          <w:p w14:paraId="30FC1716"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18. Modifíquese el Artículo 176 del Decreto Ley 2811 de 1974.</w:t>
            </w:r>
          </w:p>
          <w:p w14:paraId="4E28F18C" w14:textId="77777777" w:rsidR="00F92CAB" w:rsidRPr="005C7B9A" w:rsidRDefault="00F92CAB" w:rsidP="005C7B9A">
            <w:pPr>
              <w:jc w:val="both"/>
              <w:rPr>
                <w:rFonts w:ascii="Verdana" w:hAnsi="Verdana" w:cs="Arial"/>
                <w:lang w:val="es-ES"/>
              </w:rPr>
            </w:pPr>
            <w:r w:rsidRPr="005C7B9A">
              <w:rPr>
                <w:rFonts w:ascii="Verdana" w:hAnsi="Verdana" w:cs="Arial"/>
                <w:lang w:val="es-ES"/>
              </w:rPr>
              <w:t>Artículo 19. Modifíquese el Artículo 177 del Decreto Ley 2811 de 1974.</w:t>
            </w:r>
          </w:p>
          <w:p w14:paraId="41D53976" w14:textId="2C2E39DA" w:rsidR="00F92CAB" w:rsidRPr="005C7B9A" w:rsidRDefault="00F92CAB" w:rsidP="005C7B9A">
            <w:pPr>
              <w:jc w:val="both"/>
              <w:rPr>
                <w:rFonts w:ascii="Verdana" w:hAnsi="Verdana" w:cs="Arial"/>
                <w:lang w:val="es-ES"/>
              </w:rPr>
            </w:pPr>
            <w:r w:rsidRPr="005C7B9A">
              <w:rPr>
                <w:rFonts w:ascii="Verdana" w:hAnsi="Verdana" w:cs="Arial"/>
                <w:lang w:val="es-ES"/>
              </w:rPr>
              <w:t>Artículo 25. Modifíquese el Artículo 1 de la Ley 2036 de 2020.</w:t>
            </w:r>
          </w:p>
        </w:tc>
      </w:tr>
      <w:tr w:rsidR="00F92CAB" w:rsidRPr="005C7B9A" w14:paraId="5EFE65B2" w14:textId="77777777" w:rsidTr="005C7B9A">
        <w:tc>
          <w:tcPr>
            <w:tcW w:w="3397" w:type="dxa"/>
            <w:vAlign w:val="center"/>
          </w:tcPr>
          <w:p w14:paraId="052C3D0A" w14:textId="78A2E2D0" w:rsidR="00F92CAB" w:rsidRPr="005C7B9A" w:rsidRDefault="00F92CAB" w:rsidP="005C7B9A">
            <w:pPr>
              <w:jc w:val="both"/>
              <w:rPr>
                <w:rFonts w:ascii="Verdana" w:hAnsi="Verdana" w:cs="Arial"/>
                <w:lang w:val="es-ES"/>
              </w:rPr>
            </w:pPr>
            <w:r w:rsidRPr="005C7B9A">
              <w:rPr>
                <w:rFonts w:ascii="Verdana" w:hAnsi="Verdana" w:cs="Arial"/>
                <w:lang w:val="es-ES"/>
              </w:rPr>
              <w:t>Establece los requisitos técnicos que rigen el Registro geotérmico y los permisos de exploración y explotación del recurso geotérmico con fines de generación de energía eléctrica</w:t>
            </w:r>
          </w:p>
        </w:tc>
        <w:tc>
          <w:tcPr>
            <w:tcW w:w="1701" w:type="dxa"/>
            <w:vAlign w:val="center"/>
          </w:tcPr>
          <w:p w14:paraId="0D2E554B" w14:textId="123A254F" w:rsidR="00F92CAB" w:rsidRPr="005C7B9A" w:rsidRDefault="00F92CAB" w:rsidP="005C7B9A">
            <w:pPr>
              <w:ind w:left="36"/>
              <w:jc w:val="both"/>
              <w:rPr>
                <w:rFonts w:ascii="Verdana" w:hAnsi="Verdana" w:cs="Arial"/>
                <w:lang w:val="es-ES"/>
              </w:rPr>
            </w:pPr>
            <w:r w:rsidRPr="005C7B9A">
              <w:rPr>
                <w:rFonts w:ascii="Verdana" w:hAnsi="Verdana" w:cs="Arial"/>
                <w:lang w:val="es-ES"/>
              </w:rPr>
              <w:t>Decreto 1318 de 2022</w:t>
            </w:r>
          </w:p>
        </w:tc>
        <w:tc>
          <w:tcPr>
            <w:tcW w:w="1328" w:type="dxa"/>
            <w:vAlign w:val="center"/>
          </w:tcPr>
          <w:p w14:paraId="458ADB9D" w14:textId="119F1D32" w:rsidR="00F92CAB" w:rsidRPr="005C7B9A" w:rsidRDefault="00F92CAB" w:rsidP="005C7B9A">
            <w:pPr>
              <w:jc w:val="both"/>
              <w:rPr>
                <w:rFonts w:ascii="Verdana" w:hAnsi="Verdana" w:cs="Arial"/>
                <w:lang w:val="es-ES"/>
              </w:rPr>
            </w:pPr>
            <w:r w:rsidRPr="005C7B9A">
              <w:rPr>
                <w:rFonts w:ascii="Verdana" w:hAnsi="Verdana" w:cs="Arial"/>
                <w:lang w:val="es-ES"/>
              </w:rPr>
              <w:t>Técnica</w:t>
            </w:r>
          </w:p>
        </w:tc>
        <w:tc>
          <w:tcPr>
            <w:tcW w:w="7886" w:type="dxa"/>
            <w:vAlign w:val="center"/>
          </w:tcPr>
          <w:p w14:paraId="7B17E6CE" w14:textId="77777777" w:rsidR="00F92CAB" w:rsidRPr="005C7B9A" w:rsidRDefault="00F92CAB" w:rsidP="005C7B9A">
            <w:pPr>
              <w:jc w:val="both"/>
              <w:rPr>
                <w:rFonts w:ascii="Verdana" w:hAnsi="Verdana" w:cs="Arial"/>
                <w:lang w:val="es-ES"/>
              </w:rPr>
            </w:pPr>
          </w:p>
        </w:tc>
      </w:tr>
      <w:tr w:rsidR="00F92CAB" w:rsidRPr="005C7B9A" w14:paraId="39210D22" w14:textId="77777777" w:rsidTr="005C7B9A">
        <w:tc>
          <w:tcPr>
            <w:tcW w:w="3397" w:type="dxa"/>
            <w:vAlign w:val="center"/>
          </w:tcPr>
          <w:p w14:paraId="4F8BEC63" w14:textId="729234EE" w:rsidR="00F92CAB" w:rsidRPr="005C7B9A" w:rsidRDefault="00F92CAB" w:rsidP="005C7B9A">
            <w:pPr>
              <w:jc w:val="both"/>
              <w:rPr>
                <w:rFonts w:ascii="Verdana" w:hAnsi="Verdana" w:cs="Arial"/>
                <w:lang w:val="es-ES"/>
              </w:rPr>
            </w:pPr>
            <w:r w:rsidRPr="005C7B9A">
              <w:rPr>
                <w:rFonts w:ascii="Verdana" w:hAnsi="Verdana" w:cs="Arial"/>
                <w:lang w:val="es-ES"/>
              </w:rPr>
              <w:lastRenderedPageBreak/>
              <w:t>Establece los requisitos técnicos que rigen el registro geotérmico y los permisos de exploración y explotación del recurso geotérmico con fines de generación de energía eléctrica</w:t>
            </w:r>
          </w:p>
        </w:tc>
        <w:tc>
          <w:tcPr>
            <w:tcW w:w="1701" w:type="dxa"/>
            <w:vAlign w:val="center"/>
          </w:tcPr>
          <w:p w14:paraId="45F8741F" w14:textId="470E461A" w:rsidR="00F92CAB" w:rsidRPr="005C7B9A" w:rsidRDefault="00F92CAB" w:rsidP="005C7B9A">
            <w:pPr>
              <w:ind w:left="36"/>
              <w:jc w:val="both"/>
              <w:rPr>
                <w:rFonts w:ascii="Verdana" w:hAnsi="Verdana" w:cs="Arial"/>
                <w:lang w:val="es-ES"/>
              </w:rPr>
            </w:pPr>
            <w:r w:rsidRPr="005C7B9A">
              <w:rPr>
                <w:rFonts w:ascii="Verdana" w:hAnsi="Verdana" w:cs="Arial"/>
                <w:lang w:val="es-ES"/>
              </w:rPr>
              <w:t>Resolución 40302 de 2022</w:t>
            </w:r>
          </w:p>
        </w:tc>
        <w:tc>
          <w:tcPr>
            <w:tcW w:w="1328" w:type="dxa"/>
            <w:vAlign w:val="center"/>
          </w:tcPr>
          <w:p w14:paraId="678BA127" w14:textId="77777777" w:rsidR="00F92CAB" w:rsidRPr="005C7B9A" w:rsidRDefault="00F92CAB" w:rsidP="005C7B9A">
            <w:pPr>
              <w:jc w:val="both"/>
              <w:rPr>
                <w:rFonts w:ascii="Verdana" w:hAnsi="Verdana" w:cs="Arial"/>
                <w:lang w:val="es-ES"/>
              </w:rPr>
            </w:pPr>
          </w:p>
        </w:tc>
        <w:tc>
          <w:tcPr>
            <w:tcW w:w="7886" w:type="dxa"/>
            <w:vAlign w:val="center"/>
          </w:tcPr>
          <w:p w14:paraId="72B2317A" w14:textId="77777777" w:rsidR="00F92CAB" w:rsidRPr="005C7B9A" w:rsidRDefault="00F92CAB" w:rsidP="005C7B9A">
            <w:pPr>
              <w:jc w:val="both"/>
              <w:rPr>
                <w:rFonts w:ascii="Verdana" w:hAnsi="Verdana" w:cs="Arial"/>
                <w:lang w:val="es-ES"/>
              </w:rPr>
            </w:pPr>
          </w:p>
        </w:tc>
      </w:tr>
    </w:tbl>
    <w:p w14:paraId="202271FD" w14:textId="6ADC6295" w:rsidR="00875165" w:rsidRPr="005C7B9A" w:rsidRDefault="00875165" w:rsidP="005C7B9A">
      <w:pPr>
        <w:jc w:val="both"/>
        <w:rPr>
          <w:rFonts w:ascii="Verdana" w:hAnsi="Verdana" w:cs="Arial"/>
          <w:lang w:val="es-ES"/>
        </w:rPr>
      </w:pPr>
    </w:p>
    <w:sectPr w:rsidR="00875165" w:rsidRPr="005C7B9A" w:rsidSect="005C7B9A">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EC2093"/>
    <w:multiLevelType w:val="hybridMultilevel"/>
    <w:tmpl w:val="33665704"/>
    <w:lvl w:ilvl="0" w:tplc="9EDCD6AC">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C534D0"/>
    <w:multiLevelType w:val="hybridMultilevel"/>
    <w:tmpl w:val="7278EB8E"/>
    <w:lvl w:ilvl="0" w:tplc="6520D30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691088C"/>
    <w:multiLevelType w:val="hybridMultilevel"/>
    <w:tmpl w:val="2488EC5C"/>
    <w:lvl w:ilvl="0" w:tplc="E01ADF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25821874">
    <w:abstractNumId w:val="2"/>
  </w:num>
  <w:num w:numId="2" w16cid:durableId="1303468028">
    <w:abstractNumId w:val="1"/>
  </w:num>
  <w:num w:numId="3" w16cid:durableId="1902400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165"/>
    <w:rsid w:val="00024246"/>
    <w:rsid w:val="001D2FD6"/>
    <w:rsid w:val="00365F1F"/>
    <w:rsid w:val="003F33F1"/>
    <w:rsid w:val="00443023"/>
    <w:rsid w:val="00485E65"/>
    <w:rsid w:val="004B3397"/>
    <w:rsid w:val="005C7B9A"/>
    <w:rsid w:val="005E5962"/>
    <w:rsid w:val="00765BFA"/>
    <w:rsid w:val="00774B19"/>
    <w:rsid w:val="0079040C"/>
    <w:rsid w:val="007918B2"/>
    <w:rsid w:val="007A3E86"/>
    <w:rsid w:val="00875165"/>
    <w:rsid w:val="008B792A"/>
    <w:rsid w:val="00A56EFB"/>
    <w:rsid w:val="00C96B85"/>
    <w:rsid w:val="00CC49E9"/>
    <w:rsid w:val="00D072AA"/>
    <w:rsid w:val="00D108D9"/>
    <w:rsid w:val="00D31AF1"/>
    <w:rsid w:val="00E62674"/>
    <w:rsid w:val="00EF6315"/>
    <w:rsid w:val="00F92C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AFDF"/>
  <w15:chartTrackingRefBased/>
  <w15:docId w15:val="{0A4EFAAC-7ED3-4C78-ADF7-BE9920578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75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F63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519952">
      <w:bodyDiv w:val="1"/>
      <w:marLeft w:val="0"/>
      <w:marRight w:val="0"/>
      <w:marTop w:val="0"/>
      <w:marBottom w:val="0"/>
      <w:divBdr>
        <w:top w:val="none" w:sz="0" w:space="0" w:color="auto"/>
        <w:left w:val="none" w:sz="0" w:space="0" w:color="auto"/>
        <w:bottom w:val="none" w:sz="0" w:space="0" w:color="auto"/>
        <w:right w:val="none" w:sz="0" w:space="0" w:color="auto"/>
      </w:divBdr>
    </w:div>
    <w:div w:id="861555199">
      <w:bodyDiv w:val="1"/>
      <w:marLeft w:val="0"/>
      <w:marRight w:val="0"/>
      <w:marTop w:val="0"/>
      <w:marBottom w:val="0"/>
      <w:divBdr>
        <w:top w:val="none" w:sz="0" w:space="0" w:color="auto"/>
        <w:left w:val="none" w:sz="0" w:space="0" w:color="auto"/>
        <w:bottom w:val="none" w:sz="0" w:space="0" w:color="auto"/>
        <w:right w:val="none" w:sz="0" w:space="0" w:color="auto"/>
      </w:divBdr>
    </w:div>
    <w:div w:id="125135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60ad16287655c99b8dabb7d480d0c70b">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a2b4ae050ee2045a5c3f9992847f14a2"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0094B543-3140-4619-9672-C1985F2B0237}">
  <ds:schemaRefs>
    <ds:schemaRef ds:uri="http://schemas.openxmlformats.org/officeDocument/2006/bibliography"/>
  </ds:schemaRefs>
</ds:datastoreItem>
</file>

<file path=customXml/itemProps2.xml><?xml version="1.0" encoding="utf-8"?>
<ds:datastoreItem xmlns:ds="http://schemas.openxmlformats.org/officeDocument/2006/customXml" ds:itemID="{592FB703-B180-4CB1-BB4C-1885FFFACEFE}"/>
</file>

<file path=customXml/itemProps3.xml><?xml version="1.0" encoding="utf-8"?>
<ds:datastoreItem xmlns:ds="http://schemas.openxmlformats.org/officeDocument/2006/customXml" ds:itemID="{AA6E7577-B482-409C-BA6E-09E8007B5A82}"/>
</file>

<file path=customXml/itemProps4.xml><?xml version="1.0" encoding="utf-8"?>
<ds:datastoreItem xmlns:ds="http://schemas.openxmlformats.org/officeDocument/2006/customXml" ds:itemID="{73DC6B92-4FAF-45CD-BF9D-66A157D2F7DB}"/>
</file>

<file path=docProps/app.xml><?xml version="1.0" encoding="utf-8"?>
<Properties xmlns="http://schemas.openxmlformats.org/officeDocument/2006/extended-properties" xmlns:vt="http://schemas.openxmlformats.org/officeDocument/2006/docPropsVTypes">
  <Template>Normal</Template>
  <TotalTime>225</TotalTime>
  <Pages>3</Pages>
  <Words>707</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TAMAYO LONDONO</dc:creator>
  <cp:keywords/>
  <dc:description/>
  <cp:lastModifiedBy>MARTHA STEPHANNY BARRETO MANTILLA</cp:lastModifiedBy>
  <cp:revision>2</cp:revision>
  <dcterms:created xsi:type="dcterms:W3CDTF">2024-05-19T19:29:00Z</dcterms:created>
  <dcterms:modified xsi:type="dcterms:W3CDTF">2024-05-22T18:49:00Z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